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12" w:rsidRDefault="0030231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02312" w:rsidRDefault="00302312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30231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02312" w:rsidRDefault="00302312">
            <w:pPr>
              <w:pStyle w:val="ConsPlusNormal"/>
            </w:pPr>
            <w:r>
              <w:t>7 мая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02312" w:rsidRDefault="00302312">
            <w:pPr>
              <w:pStyle w:val="ConsPlusNormal"/>
              <w:jc w:val="right"/>
            </w:pPr>
            <w:r>
              <w:t>N 204</w:t>
            </w:r>
          </w:p>
        </w:tc>
      </w:tr>
    </w:tbl>
    <w:p w:rsidR="00302312" w:rsidRDefault="0030231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2312" w:rsidRDefault="00302312">
      <w:pPr>
        <w:pStyle w:val="ConsPlusNormal"/>
        <w:jc w:val="both"/>
      </w:pPr>
    </w:p>
    <w:p w:rsidR="00302312" w:rsidRDefault="00302312">
      <w:pPr>
        <w:pStyle w:val="ConsPlusTitle"/>
        <w:jc w:val="center"/>
      </w:pPr>
      <w:r>
        <w:t>УКАЗ</w:t>
      </w:r>
    </w:p>
    <w:p w:rsidR="00302312" w:rsidRDefault="00302312">
      <w:pPr>
        <w:pStyle w:val="ConsPlusTitle"/>
        <w:jc w:val="both"/>
      </w:pPr>
    </w:p>
    <w:p w:rsidR="00302312" w:rsidRDefault="00302312">
      <w:pPr>
        <w:pStyle w:val="ConsPlusTitle"/>
        <w:jc w:val="center"/>
      </w:pPr>
      <w:r>
        <w:t>ПРЕЗИДЕНТА РОССИЙСКОЙ ФЕДЕРАЦИИ</w:t>
      </w:r>
    </w:p>
    <w:p w:rsidR="00302312" w:rsidRDefault="00302312">
      <w:pPr>
        <w:pStyle w:val="ConsPlusTitle"/>
        <w:jc w:val="both"/>
      </w:pPr>
    </w:p>
    <w:p w:rsidR="00302312" w:rsidRDefault="00302312">
      <w:pPr>
        <w:pStyle w:val="ConsPlusTitle"/>
        <w:jc w:val="center"/>
      </w:pPr>
      <w:r>
        <w:t>О НАЦИОНАЛЬНЫХ ЦЕЛЯХ И СТРАТЕГИЧЕСКИХ ЗАДАЧАХ</w:t>
      </w:r>
    </w:p>
    <w:p w:rsidR="00302312" w:rsidRDefault="00302312">
      <w:pPr>
        <w:pStyle w:val="ConsPlusTitle"/>
        <w:jc w:val="center"/>
      </w:pPr>
      <w:r>
        <w:t>РАЗВИТИЯ РОССИЙСКОЙ ФЕДЕРАЦИИ НА ПЕРИОД ДО 2024 ГОДА</w:t>
      </w:r>
    </w:p>
    <w:p w:rsidR="00302312" w:rsidRDefault="00302312">
      <w:pPr>
        <w:pStyle w:val="ConsPlusNormal"/>
        <w:jc w:val="both"/>
      </w:pPr>
    </w:p>
    <w:p w:rsidR="00302312" w:rsidRDefault="00302312">
      <w:pPr>
        <w:pStyle w:val="ConsPlusNormal"/>
        <w:ind w:firstLine="540"/>
        <w:jc w:val="both"/>
      </w:pPr>
      <w:r>
        <w:t>В целях осуществления прорывного научно-технологического и социально-экономического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 постановляю:</w:t>
      </w:r>
    </w:p>
    <w:p w:rsidR="00302312" w:rsidRDefault="00302312">
      <w:pPr>
        <w:pStyle w:val="ConsPlusNormal"/>
        <w:spacing w:before="220"/>
        <w:ind w:firstLine="540"/>
        <w:jc w:val="both"/>
      </w:pPr>
      <w:bookmarkStart w:id="0" w:name="P12"/>
      <w:bookmarkEnd w:id="0"/>
      <w:r>
        <w:t>1. Правительству Российской Федерации обеспечить достижение следующих национальных целей развития Российской Федерации на период до 2024 года: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обеспечение устойчивого естественного роста численности населения Российской Федерации;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повышение ожидаемой продолжительности жизни до 78 лет (к 2030 году - до 80 лет);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в) обеспечение устойчивого роста реальных доходов граждан, а также роста уровня пенсионного обеспечения выше уровня инфляции;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г) снижение в два раза уровня бедности в Российской Федерации;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д) улучшение жилищных условий не менее 5 млн. семей ежегодно;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е) ускорение технологического развития Российской Федерации, увеличение количества организаций, осуществляющих технологические инновации, до 50 процентов от их общего числа;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ж) обеспечение ускоренного внедрения цифровых технологий в экономике и социальной сфере;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з) вхождение Российской Федерации в число пяти крупнейших экономик мира, обеспечение темпов экономического роста выше мировых при сохранении макроэкономической стабильности, в том числе инфляции на уровне, не превышающем 4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и) создание в базовых отраслях экономики, прежде всего в обрабатывающей промышленности и агропромышленном комплексе, высокопроизводительного экспортно ориентированного сектора, развивающегося на основе современных технологий и обеспеченного высококвалифицированными кадрами.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2. Правительству Российской Федерации: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а) утвердить до 1 октября 2018 г. Основные направления деятельности Правительства Российской Федерации на период до 2024 года и прогноз социально-экономического развития Российской Федерации на период до 2024 года, предусмотрев механизмы и ресурсное обеспечение достижения национальных целей, определенных </w:t>
      </w:r>
      <w:hyperlink w:anchor="P12" w:history="1">
        <w:r>
          <w:rPr>
            <w:color w:val="0000FF"/>
          </w:rPr>
          <w:t>пунктом 1</w:t>
        </w:r>
      </w:hyperlink>
      <w:r>
        <w:t xml:space="preserve"> настоящего Указа;</w:t>
      </w:r>
    </w:p>
    <w:p w:rsidR="00302312" w:rsidRDefault="00302312">
      <w:pPr>
        <w:pStyle w:val="ConsPlusNormal"/>
        <w:spacing w:before="220"/>
        <w:ind w:firstLine="540"/>
        <w:jc w:val="both"/>
      </w:pPr>
      <w:bookmarkStart w:id="1" w:name="P24"/>
      <w:bookmarkEnd w:id="1"/>
      <w:r>
        <w:t xml:space="preserve">б) в соответствии с национальными целями, определенными </w:t>
      </w:r>
      <w:hyperlink w:anchor="P12" w:history="1">
        <w:r>
          <w:rPr>
            <w:color w:val="0000FF"/>
          </w:rPr>
          <w:t>пунктом 1</w:t>
        </w:r>
      </w:hyperlink>
      <w:r>
        <w:t xml:space="preserve"> настоящего Указа, </w:t>
      </w:r>
      <w:r>
        <w:lastRenderedPageBreak/>
        <w:t>разработать (скорректировать) совместно с органами государственной власти субъектов Российской Федерации и представить до 1 октября 2018 г. для рассмотрения на заседании Совета при Президенте Российской Федерации по стратегическому развитию и приоритетным проектам национальные проекты (программы) по следующим направлениям: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демография;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здравоохранение;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образование;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жилье и городская среда;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экология;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безопасные и качественные автомобильные дороги;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производительность труда и поддержка занятости;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наука;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цифровая экономика;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культура;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малое и среднее предпринимательство и поддержка индивидуальной предпринимательской инициативы;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международная кооперация и экспорт.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3. Правительству Российской Федерации при разработке национальной программы в сфере демографического развития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ожидаемой продолжительности здоровой жизни до 67 лет;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суммарного коэффициента рождаемости до 1,7;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доли граждан, ведущих здоровый образ жизни, а также увеличение до 55 процентов доли граждан, систематически занимающихся физической культурой и спортом;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механизма финансовой поддержки семей при рождении детей;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условий для осуществления трудовой деятельности женщин, имеющих детей, включая достижение 100-процентной доступности (к 2021 году) дошкольного образования для детей в возрасте до трех лет;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разработка и реализация программы системной поддержки и повышения качества жизни граждан старшего поколения;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системы мотивации граждан к здоровому образу жизни, включая здоровое питание и отказ от вредных привычек;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</w:t>
      </w:r>
      <w:r>
        <w:lastRenderedPageBreak/>
        <w:t>объектами спорта, а также подготовка спортивного резерва.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4. Правительству Российской Федерации при разработке национального проекта в сфере здравоохранения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снижение показателей смертности населения трудоспособного возраста (до 350 случаев на 100 тыс. населения), смертности от болезней системы кровообращения (до 450 случаев на 100 тыс. населения), смертности от новообразований, в том числе от злокачественных (до 185 случаев на 100 тыс. населения), младенческой смертности (до 4,5 случая на 1 тыс. родившихся детей);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ликвидация кадрового дефицита в медицинских организациях, оказывающих первичную медико-санитарную помощь;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охвата всех граждан профилактическими медицинскими осмотрами не реже одного раза в год;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объема экспорта медицинских услуг не менее чем в четыре раза по сравнению с 2017 годом (до 1 млрд. долларов США в год);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proofErr w:type="gramStart"/>
      <w:r>
        <w:t>завершение формирования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амбулаторий, фельдшерских и фельдшерско-акушерских пунктов в населенных пунктах с численностью населения от 100 человек до 2 тыс. человек, а также с учетом использования мобильных медицинских комплексов в населенных пунктах с численностью населения менее 100 человек;</w:t>
      </w:r>
      <w:proofErr w:type="gramEnd"/>
    </w:p>
    <w:p w:rsidR="00302312" w:rsidRDefault="00302312">
      <w:pPr>
        <w:pStyle w:val="ConsPlusNormal"/>
        <w:spacing w:before="220"/>
        <w:ind w:firstLine="540"/>
        <w:jc w:val="both"/>
      </w:pPr>
      <w:r>
        <w:t>завершение формирования сети национальных медицинских исследовательских центров;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механизмов взаимодействия медицинских организаций на основе единой государственной информационной системы в сфере здравоохранения;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инновационных медицинских технологий, включая систему ранней диагностики и дистанционный мониторинг состояния здоровья пациентов;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медицинских организаций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клинических рекомендаций и протоколов лечения и их использование в целях формирования тарифов на оплату медицинской помощи;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разработка и реализация программ борьбы с онкологическими заболеваниями, </w:t>
      </w:r>
      <w:proofErr w:type="gramStart"/>
      <w:r>
        <w:t>сердечно-сосудистыми</w:t>
      </w:r>
      <w:proofErr w:type="gramEnd"/>
      <w:r>
        <w:t xml:space="preserve"> заболеваниями, развития детского здравоохранения, включая создание современной инфраструктуры оказания медицинской помощи детям;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lastRenderedPageBreak/>
        <w:t>формирование системы защиты прав пациентов;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совершенствование механизма экспорта медицинских услуг.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5. Правительству Российской Федерации при разработке национального проекта в сфере образования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"Технология";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области цифровой экономики всеми желающими;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системы профессиональных конкурсов в целях предоставления гражданам возможностей для профессионального и карьерного роста;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условий для развития наставничества, поддержки общественных инициатив и проектов, в том числе в сфере добровольчества (волонтерства);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не менее чем в два раза количества иностранных граждан, обучающихся в образовательных организациях высшего образования и научных организациях, а также реализация комплекса мер по трудоустройству лучших из них в Российской Федерации.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6. Правительству Российской Федерации при разработке национального проекта в сфере жилья и городской среды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lastRenderedPageBreak/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доступным жильем семей со средним достатком, в том числе создание возможностей для приобретения (строительства) ими жилья с использованием ипотечного кредита, ставка по которому должна быть менее 8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объема жилищного строительства не менее чем до 120 млн. квадратных метров в год;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кардинальное повышение комфортности городской среды, повышение индекса качества городской среды на 30 процентов, сокращение в соответствии с этим индексом количества городов с неблагоприятной средой в два раза;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среды, до 30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устойчивого сокращения непригодного для проживания жилищного фонда;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совершенствование механизмов финансирования жилищного строительства, в том числе посредством развития рынка ипотечных ценных бумаг и поэтапного перехода от привлечения денежных сре</w:t>
      </w:r>
      <w:proofErr w:type="gramStart"/>
      <w:r>
        <w:t>дств дл</w:t>
      </w:r>
      <w:proofErr w:type="gramEnd"/>
      <w:r>
        <w:t>я долевого строительства многоквартирных домов и иных объектов недвижимости к другим формам финансирования жилищного строительства, обеспечивающим защиту прав граждан и снижение рисков для них;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модернизация строительной отрасли и повышение качества индустриального жилищного строительства, в том числе посредством установления ограничений на использование устаревших технологий и стимулирования внедрения передовых технологий в проектировании и строительстве, совершенствование механизмов государственной поддержки строительства стандартного жилья;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снижение административной нагрузки на застройщиков, совершенствование нормативно-правовой базы и порядка регулирования деятельности в сфере жилищного строительства;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эффективного использования земель в целях массового жилищного строительства при условии сохранения и развития зеленого фонда и территорий, на которых располагаются природные объекты, имеющие экологическое, историко-культурное, рекреационное, оздоровительное и иное ценное значение;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7. Правительству Российской Федерации при разработке национального проекта в сфере экологии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эффективное обращение с отходами производства и потребления, включая ликвидацию всех выявленных на 1 января 2018 г. несанкционированных свалок в границах городов;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кардинальное снижение уровня загрязнения атмосферного воздуха в крупных </w:t>
      </w:r>
      <w:r>
        <w:lastRenderedPageBreak/>
        <w:t>промышленных центрах, в том числе уменьшение не менее чем на 20 процентов совокупного объема выбросов загрязняющих веществ в атмосферный воздух в наиболее загрязненных городах;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повышение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экологическое оздоровление водных объектов, включая реку Волгу, и сохранение уникальных водных систем, включая озера Байкал и Телецкое;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сохранение биологического разнообразия, в том числе посредством создания не менее 24 новых особо охраняемых природных территорий;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и эффективное функционирование во всех субъектах Российской Федерации системы общественного контроля, направленной на выявление и ликвидацию несанкционированных свалок;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современной инфраструктуры, обеспечивающей безопасное обращение с отходами I и II классов опасности, и ликвидация наиболее опасных объектов накопленного экологического вреда;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реализация комплексных планов мероприятий по снижению выбросов загрязняющих веществ в атмосферный воздух в крупных промышленных центрах, включая города Братск, Красноярск, Липецк, Магнитогорск, Медногорск, Нижний Тагил, Новокузнецк, Норильск, Омск, Челябинск, Череповец и Читу, с учетом сводных расчетов допустимого в этих городах негативного воздействия на окружающую среду;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 наилучших доступных технологий;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повышение качества питьевой воды посредством модернизации систем водоснабжения с использованием перспективных технологий водоподготовки, включая технологии, разработанные организациями оборонно-промышленного комплекса;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экологическая реабилитация водных объектов, в том числе реализация проекта, направленного на сокращение в три раза доли загрязненных сточных вод, отводимых в реку Волгу, устойчивое функционирование водохозяйственного комплекса Нижней Волги и сохранение экосистемы Волго-Ахтубинской поймы;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сохранение уникальных водных объектов, в том числе реализация проекта по сохранению озера Байкал, а также мероприятий по очистке от мусора берегов и прибрежной акватории озер Байкал, Телецкое, Ладожское, Онежское и рек Волги, Дона, Оби, Енисея, Амура, Урала, Печоры;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сохранение биологического разнообразия, включая увеличение площади особо охраняемых природных территорий на 5 млн. гектаров, реинтродукцию редких видов животных, создание инфраструктуры для экологического туризма в национальных парках, а также сохранение лесов, в том числе на основе их воспроизводства на всех участках вырубленных и погибших лесных насаждений.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lastRenderedPageBreak/>
        <w:t>8. Правительству Российской Федерации при разработке национального проекта по созданию безопасных и качественных автомобильных дорог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 (относительно их протяженности по состоянию на 31 декабря 2017 г.), а также утверждение органами государственной власти субъектов Российской Федерации таких нормативов исходя из установленных на федеральном уровне требований безопасности автомобильных дорог;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снижение доли автомобильных дорог федерального и регионального значения, работающих в режиме перегрузки, в их общей протяженности на 10 процентов по сравнению с 2017 годом;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снижение количества мест концентрации дорожно-транспортных происшествий (аварийно-опасных участков) на дорожной сети в два раза по сравнению с 2017 годом;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снижение смертности в результате дорожно-транспортных происшествий в 3,5 раза по сравнению с 2017 годом - до уровня, не превышающего четырех человек на 100 тыс. населения (к 2030 году - стремление к нулевому уровню смертности);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доведение в крупнейших городских агломерациях доли автомобильных дорог, соответствующих нормативным требованиям, в их общей протяженности до 85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применение новых механизмов развития и эксплуатации дорожной сети, включая использование инфраструктурной ипотеки, контрактов жизненного цикла, наилучших технологий и материалов;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доведение </w:t>
      </w:r>
      <w:proofErr w:type="gramStart"/>
      <w:r>
        <w:t>норматива зачисления налоговых доходов бюджетов субъектов Российской Федерации</w:t>
      </w:r>
      <w:proofErr w:type="gramEnd"/>
      <w:r>
        <w:t xml:space="preserve"> от акцизов на горюче-смазочные материалы до 100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внедрение общедоступной информационной системы </w:t>
      </w:r>
      <w:proofErr w:type="gramStart"/>
      <w:r>
        <w:t>контроля за</w:t>
      </w:r>
      <w:proofErr w:type="gramEnd"/>
      <w:r>
        <w:t xml:space="preserve"> формированием и использованием средств дорожных фондов всех уровней (в 2019 году);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механизмов экономического стимулирования сохранности автомобильных дорог регионального и местного значения;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внедрение новых технических требований и стандартов </w:t>
      </w:r>
      <w:proofErr w:type="gramStart"/>
      <w:r>
        <w:t>обустройства</w:t>
      </w:r>
      <w:proofErr w:type="gramEnd"/>
      <w:r>
        <w:t xml:space="preserve">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внедрение автоматизированных и роботизированных технологий организации дорожного движения и </w:t>
      </w:r>
      <w:proofErr w:type="gramStart"/>
      <w:r>
        <w:t>контроля за</w:t>
      </w:r>
      <w:proofErr w:type="gramEnd"/>
      <w:r>
        <w:t xml:space="preserve"> соблюдением правил дорожного движения;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усиление ответственности водителей за нарушение правил дорожного движения, а также повышение требований к уровню их профессиональной подготовки.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9. Правительству Российской Федерации при реализации совместно с органами государственной власти субъектов Российской Федерации национальной программы в сфере повышения производительности труда и поддержки занятости обеспечить в 2024 году: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рост производительности труда на средних и крупных предприятиях базовых несырьевых </w:t>
      </w:r>
      <w:r>
        <w:lastRenderedPageBreak/>
        <w:t>отраслей экономики не ниже 5 процентов в год;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привлечение к участию в реализации указанной национальной программы не менее 10 субъектов Российской Федерации ежегодно;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вовлечение в реализацию указанной национальной программы не менее 10 тыс. средних и крупных предприятий базовых несырьевых отраслей экономики;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стимулирование внедрения передовых управленческих, организационных и технологических решений для повышения производительности труда и модернизации основных фондов, в том числе посредством предоставления налоговых преференций;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сокращение нормативно-правовых и административных ограничений, препятствующих росту производительности труда, а также замещение устаревших и непроизводительных рабочих мест;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системы методической и организационной поддержки повышения производительности труда на предприятиях;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системы подготовки кадров, направленной на обучение основам повышения производительности труда, в том числе посредством использования цифровых технологий и платформенных решений.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10. Правительству Российской Федерации при разработке национального проекта в сфере науки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присутствия Российской Федерации в числе пяти ведущих стран мира, осуществляющих научные исследования и разработки в областях, определяемых приоритетами научно-технологического развития;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привлекательности работы в Российской Федерации для российских и зарубежных ведущих ученых и молодых перспективных исследователей;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опережающее увеличение внутренних затрат на научные исследования и разработки за счет всех источников по сравнению с ростом валового внутреннего продукта страны;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передовой инфраструктуры научных исследований и разработок, инновационной деятельности, включая создание и развитие сети уникальных научных установок класса "мегасайенс";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обновление не менее 50 процентов приборной базы ведущих организаций, выполняющих научные исследования и разработки;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научных центров мирового уровня, включая сеть международных математических центров и центров геномных исследований;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не менее 15 научно-образовательных центров мирового уровня на основе интеграции университетов и научных организаций и их кооперации с организациями, действующими в реальном секторе экономики;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формирование целостной системы подготовки и профессионального роста научных и </w:t>
      </w:r>
      <w:r>
        <w:lastRenderedPageBreak/>
        <w:t>научно-педагогических кадров, обеспечивающей условия для осуществления молодыми учеными научных исследований и разработок, создания научных лабораторий и конкурентоспособных коллективов.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11. Правительству Российской Федерации при реализации совместно с органами государственной власти субъектов Российской Федерации национальной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"Цифровая экономика Российской Федерации" обеспечить в 2024 году: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увеличение внутренних затрат на развитие цифровой экономики за счет всех источников (по доле в валовом внутреннем продукте страны) не менее чем в три раза по сравнению с 2017 годом;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использование преимущественно отечественного программного обеспечения государственными органами, органами местного самоуправления и организациями;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системы правового регулирования цифровой экономики, основанного на гибком подходе в каждой сфере, а также внедрение гражданского оборота на базе цифровых технологий;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глобальной конкурентоспособной инфраструктуры передачи, обработки и хранения данных преимущественно на основе отечественных разработок;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подготовки высококвалифицированных кадров для цифровой экономики;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сквозных цифровых технологий преимущественно на основе отечественных разработок;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внедрение цифровых технологий и платформенных решений в сферах государственного управления и оказания государственных услуг, в том числе в интересах населения и субъектов малого и среднего предпринимательства, включая индивидуальных предпринимателей;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преобразование приоритетных отраслей экономики и социальной сферы, включая здравоохранение, образование, промышленность, сельское хозяйство, строительство, городское хозяйство, транспортную и энергетическую инфраструктуру, финансовые услуги, посредством внедрения цифровых технологий и платформенных решений;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комплексной системы финансирования проектов по разработке и (или) внедрению цифровых технологий и платформенных решений, включающей в себя венчурное финансирование и иные институты развития;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разработка и внедрение национального механизма осуществления согласованной политики государств - членов Евразийского экономического союза при реализации планов в области развития цифровой экономики.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12. Правительству Российской Федерации при разработке национальной программы в сфере культуры обратить особое внимание на необходимость: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lastRenderedPageBreak/>
        <w:t>а) укрепления российской гражданской идентичности на основе духовно-нравственных и культурных ценностей народов Российской Федерации;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создания (реконструкции) культурно-образовательных и музейных комплексов, включающих в себя концертные залы, театральные, музыкальные, хореографические и другие творческие школы, а также выставочные пространства;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в) обеспечения детских музыкальных, художественных, хореографических школ, училищ и школ искусств необходимыми инструментами, оборудованием и материалами;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г) продвижения талантливой молодежи в сфере музыкального искусства, в том числе посредством создания национального молодежного симфонического оркестра;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д) создания (реконструкции) культурно-досуговых организаций клубного типа на территориях сельских поселений, развития муниципальных библиотек;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е) создания виртуальных концертных залов не менее чем в 500 городах Российской Федерации;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ж) создания условий для показа национальных кинофильмов в кинозалах, расположенных в населенных пунктах с численностью населения до 500 тыс. человек;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з) подготовки кадров для организаций культуры;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и) модернизации региональных и муниципальных театров юного зрителя и кукольных театров путем их реконструкции и капитального ремонта;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к) поддержки добровольческих движений, в том числе в сфере сохранения культурного наследия народов Российской Федерации.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13. Правительству Российской Федерации при реализации совместно с органами государственной власти субъектов Российской Федерации национального проекта в сфере развития малого и среднего предпринимательства и поддержки индивидуальной предпринимательской инициативы обеспечить в 2024 году: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следующего целевого показателя: увеличение численности занятых в сфере малого и среднего предпринимательства, включая индивидуальных предпринимателей, до 25 млн. человек;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улучшение условий ведения предпринимательской деятельности, включая упрощение налоговой отчетности для предпринимателей, применяющих контрольно-кассовую технику;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цифровой платформы, ориентированной на поддержку производственной и сбытовой деятельности субъектов малого и среднего предпринимательства, включая индивидуальных предпринимателей;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совершенствование системы закупок, осуществляемых крупнейшими заказчиками у субъектов малого и среднего предпринимательства, включая индивидуальных предпринимателей;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упрощение доступа к льготному финансированию, в том числе ежегодное увеличение объема льготных кредитов, выдаваемых субъектам малого и среднего предпринимательства, включая индивидуальных предпринимателей;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создание системы акселерации субъектов малого и среднего предпринимательства, </w:t>
      </w:r>
      <w:r>
        <w:lastRenderedPageBreak/>
        <w:t>включая индивидуальных предпринимателей, в том числе инфраструктуры и сервисов поддержки, а также их ускоренное развитие в таких областях, как благоустройство городской среды, научно-технологическая сфера, социальная сфера и экология;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модернизация системы поддержки экспортеров, являющихся субъектами малого и среднего предпринимательства, включая индивидуальных предпринимателей, увеличение доли таких экспортеров в общем объеме несырьевого экспорта не менее чем до 10 процентов;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создание системы поддержки фермеров и развитие сельской кооперации;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обеспечение благоприятных условий осуществления деятельности самозанятыми гражданами посредством создания нового режима налогообложения, предусматривающего передачу информации о продажах в налоговые органы Российской Федерации в автоматическом режиме, освобождение от обязанности представлять отчетность, а также уплату единого платежа с выручки, включающего в себя страховые взносы.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14. Правительству Российской Федерации при разработке национальной программы в сфере развития международной кооперации и экспорта исходить из того, что в 2024 году необходимо обеспечить: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достижение следующих целей и целевых показателей: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в обрабатывающей промышленности, сельском хозяйстве, сфере услуг глобальных конкурентоспособных несырьевых секторов, общая доля экспорта товаров (работ, услуг) которых составит не менее 20 процентов валового внутреннего продукта страны;</w:t>
      </w:r>
    </w:p>
    <w:p w:rsidR="00302312" w:rsidRDefault="00302312">
      <w:pPr>
        <w:pStyle w:val="ConsPlusNormal"/>
        <w:spacing w:before="220"/>
        <w:ind w:firstLine="540"/>
        <w:jc w:val="both"/>
      </w:pPr>
      <w:proofErr w:type="gramStart"/>
      <w:r>
        <w:t>достижение объема экспорта (в стоимостном выражении) несырьевых неэнергетических товаров в размере 250 млрд. долларов США в год, в том числе продукции машиностроения - 50 млрд. долларов США в год и продукции агропромышленного комплекса - 45 млрд. долларов США в год, а также объема экспорта оказываемых услуг в размере 100 млрд. долларов США в год;</w:t>
      </w:r>
      <w:proofErr w:type="gramEnd"/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формирование эффективной системы разделения труда и производственной кооперации в рамках Евразийского экономического союза в целях увеличения объема торговли между государствами - членами Союза не менее чем в полтора раза и обеспечения роста объема накопленных взаимных инвестиций в полтора раза;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решение следующих задач: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ориентация промышленной, аграрной и торговой политики, включая применяемые механизмы государственной поддержки, на достижение международной конкурентоспособности российских товаров (работ, услуг) в целях обеспечения их присутствия на внешних рынках;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сокращение административных процедур и барьеров в сфере международной торговли, включая отмену избыточных требований при лицензировании экспорта и осуществлении валютного контроля, организация (к 2021 году) взаимодействия субъектов международной торговли с контролирующими органами по принципу "одного окна";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завершение создания гибкой линейки финансовых инструментов поддержки экспорта (к 2021 году), включая расширенное предэкспортное, экспортное и акционерное финансирование, лизинг и долгосрочные меры поддержки;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устранение логистических ограничений при экспорте товаров с использованием железнодорожного, автомобильного и морского транспорта, а также строительство (модернизация) пунктов пропуска через государственную границу Российской Федерации;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создание единой системы институтов продвижения экспорта, предусматривающей </w:t>
      </w:r>
      <w:r>
        <w:lastRenderedPageBreak/>
        <w:t>модернизацию торговых представительств Российской Федерации за рубежом;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завершение формирования в рамках Евразийского экономического союза общих рынков товаров, услуг, капитала и рабочей силы, включая окончательное устранение барьеров, ограничений и отмену изъятий в экономическом сотрудничестве, при одновременном активном использовании механизмов совместной проектной деятельности.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15. Правительству Российской Федерации на основе стратегии пространственного развития Российской Федерации разработать с участием органов государственной власти субъектов Российской Федерации и до 1 октября 2018 г. утвердить комплексный план модернизации и расширения магистральной инфраструктуры, предусматривающий обеспечение в 2024 году: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а) развития транспортных коридоров "Запад - Восток" и "Север - Юг" для перевозки грузов, в том числе за счет: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строительства и модернизации российских </w:t>
      </w:r>
      <w:proofErr w:type="gramStart"/>
      <w:r>
        <w:t>участков</w:t>
      </w:r>
      <w:proofErr w:type="gramEnd"/>
      <w:r>
        <w:t xml:space="preserve"> автомобильных дорог, относящихся к международному транспортному маршруту "Европа - Западный Китай";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увеличения мощностей морских портов Российской Федерации, включая порты Дальневосточного, Северо-Западного, Волго-Каспийского и Азово-Черноморского бассейнов;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развития Северного морского пути и увеличения грузопотока по нему до 80 млн. тонн;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сокращения времени перевозки контейнеров железнодорожным транспортом, в частности с Дальнего Востока до западной границы Российской Федерации до семи дней, и увеличения объема транзитных перевозок контейнеров железнодорожным транспортом в четыре раза;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формирования узловых грузовых мультимодальных транспортно-логистических центров;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увеличения пропускной способности Байкало-Амурской и Транссибирской железнодорожных магистралей в полтора раза, до 180 млн. тонн;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увеличения пропускной способности железнодорожных подходов к морским портам Азово-Черноморского бассейна;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б) повышения уровня экономической связанности территории Российской Федерации посредством расширения и модернизации железнодорожной, авиационной, автодорожной, морской и речной инфраструктуры, в том числе за счет:</w:t>
      </w:r>
    </w:p>
    <w:p w:rsidR="00302312" w:rsidRDefault="00302312">
      <w:pPr>
        <w:pStyle w:val="ConsPlusNormal"/>
        <w:spacing w:before="220"/>
        <w:ind w:firstLine="540"/>
        <w:jc w:val="both"/>
      </w:pPr>
      <w:proofErr w:type="gramStart"/>
      <w:r>
        <w:t>поэтапного развития транспортных коммуникаций между административными центрами субъектов Российской Федерации и другими городами - центрами экономического роста, включая ликвидацию инфраструктурных ограничений на имеющих перспективы развития территориях, прилегающих к таким транспортным коммуникациям;</w:t>
      </w:r>
      <w:proofErr w:type="gramEnd"/>
    </w:p>
    <w:p w:rsidR="00302312" w:rsidRDefault="00302312">
      <w:pPr>
        <w:pStyle w:val="ConsPlusNormal"/>
        <w:spacing w:before="220"/>
        <w:ind w:firstLine="540"/>
        <w:jc w:val="both"/>
      </w:pPr>
      <w:r>
        <w:t>реконструкции инфраструктуры региональных аэропортов и расширения сети межрегиональных регулярных пассажирских авиационных маршрутов, минуя Москву, до 50 процентов от общего количества внутренних регулярных авиационных маршрутов;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создания основы для развития скоростного и высокоскоростного железнодорожного сообщения между крупными городами;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увеличения пропускной способности внутренних водных путей;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в) гарантированного обеспечения доступной электроэнергией, в том числе за счет: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электрификации транспортных коридоров "Запад - Восток" и "Север - Юг", включая Байкало-Амурскую и Транссибирскую железнодорожные магистрали, во взаимосвязи с развитием </w:t>
      </w:r>
      <w:r>
        <w:lastRenderedPageBreak/>
        <w:t>транспортной инфраструктуры;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развития централизованных энергосистем, включая модернизацию генерирующих мощностей тепловых, атомных и гидроэлектростанций в соответствии с потребностями социально-экономического развития;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устойчивого энергоснабжения потребителей на территориях субъектов Российской Федерации, прежде всего Республики Крым, г. Севастополя, Калининградской области, а также субъектов Российской Федерации, входящих в состав Дальневосточного федерального округа;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развития распределенной генерации, в том числе на основе возобновляемых источников энергии, в первую очередь </w:t>
      </w:r>
      <w:proofErr w:type="gramStart"/>
      <w:r>
        <w:t>в</w:t>
      </w:r>
      <w:proofErr w:type="gramEnd"/>
      <w:r>
        <w:t xml:space="preserve"> удаленных и изолированных энергорайонах;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внедрения интеллектуальных систем управления электросетевым хозяйством на базе цифровых технологий.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16. Правительству Российской Федерации: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а) ежегодно при формировании проекта федерального бюджета на очередной финансовый год и на плановый период предусматривать в приоритетном порядке бюджетные ассигнования федерального бюджета на реализацию национальных проектов (программ), названных в </w:t>
      </w:r>
      <w:hyperlink w:anchor="P24" w:history="1">
        <w:r>
          <w:rPr>
            <w:color w:val="0000FF"/>
          </w:rPr>
          <w:t>подпункте "б" пункта 2</w:t>
        </w:r>
      </w:hyperlink>
      <w:r>
        <w:t xml:space="preserve"> настоящего Указа;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 xml:space="preserve">б) обеспечить направление в приоритетном порядке дополнительных доходов федерального бюджета, образующихся в ходе его исполнения, на реализацию национальных проектов (программ), названных в </w:t>
      </w:r>
      <w:hyperlink w:anchor="P24" w:history="1">
        <w:r>
          <w:rPr>
            <w:color w:val="0000FF"/>
          </w:rPr>
          <w:t>подпункте "б" пункта 2</w:t>
        </w:r>
      </w:hyperlink>
      <w:r>
        <w:t xml:space="preserve"> настоящего Указа.</w:t>
      </w:r>
    </w:p>
    <w:p w:rsidR="00302312" w:rsidRDefault="00302312">
      <w:pPr>
        <w:pStyle w:val="ConsPlusNormal"/>
        <w:spacing w:before="220"/>
        <w:ind w:firstLine="540"/>
        <w:jc w:val="both"/>
      </w:pPr>
      <w:r>
        <w:t>17. Настоящий Указ вступает в силу со дня его официального опубликования.</w:t>
      </w:r>
    </w:p>
    <w:p w:rsidR="00302312" w:rsidRDefault="00302312">
      <w:pPr>
        <w:pStyle w:val="ConsPlusNormal"/>
        <w:jc w:val="both"/>
      </w:pPr>
    </w:p>
    <w:p w:rsidR="00302312" w:rsidRDefault="00302312">
      <w:pPr>
        <w:pStyle w:val="ConsPlusNormal"/>
        <w:jc w:val="right"/>
      </w:pPr>
      <w:r>
        <w:t>Президент</w:t>
      </w:r>
    </w:p>
    <w:p w:rsidR="00302312" w:rsidRDefault="00302312">
      <w:pPr>
        <w:pStyle w:val="ConsPlusNormal"/>
        <w:jc w:val="right"/>
      </w:pPr>
      <w:r>
        <w:t>Российской Федерации</w:t>
      </w:r>
    </w:p>
    <w:p w:rsidR="00302312" w:rsidRDefault="00302312">
      <w:pPr>
        <w:pStyle w:val="ConsPlusNormal"/>
        <w:jc w:val="right"/>
      </w:pPr>
      <w:r>
        <w:t>В.ПУТИН</w:t>
      </w:r>
    </w:p>
    <w:p w:rsidR="00302312" w:rsidRDefault="00302312">
      <w:pPr>
        <w:pStyle w:val="ConsPlusNormal"/>
      </w:pPr>
      <w:r>
        <w:t>Москва, Кремль</w:t>
      </w:r>
    </w:p>
    <w:p w:rsidR="00302312" w:rsidRDefault="00302312">
      <w:pPr>
        <w:pStyle w:val="ConsPlusNormal"/>
        <w:spacing w:before="220"/>
      </w:pPr>
      <w:r>
        <w:t>7 мая 2018 года</w:t>
      </w:r>
    </w:p>
    <w:p w:rsidR="00302312" w:rsidRDefault="00302312">
      <w:pPr>
        <w:pStyle w:val="ConsPlusNormal"/>
        <w:spacing w:before="220"/>
      </w:pPr>
      <w:r>
        <w:t>N 204</w:t>
      </w:r>
    </w:p>
    <w:p w:rsidR="00302312" w:rsidRDefault="00302312">
      <w:pPr>
        <w:pStyle w:val="ConsPlusNormal"/>
        <w:jc w:val="both"/>
      </w:pPr>
    </w:p>
    <w:p w:rsidR="00302312" w:rsidRDefault="00302312">
      <w:pPr>
        <w:pStyle w:val="ConsPlusNormal"/>
        <w:jc w:val="both"/>
      </w:pPr>
    </w:p>
    <w:p w:rsidR="00302312" w:rsidRDefault="0030231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4FCB" w:rsidRDefault="00A34FCB">
      <w:bookmarkStart w:id="2" w:name="_GoBack"/>
      <w:bookmarkEnd w:id="2"/>
    </w:p>
    <w:sectPr w:rsidR="00A34FCB" w:rsidSect="00E22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12"/>
    <w:rsid w:val="00302312"/>
    <w:rsid w:val="00595B77"/>
    <w:rsid w:val="00A3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2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3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2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3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8DF1FDA0FEAE7B7B1F81BD836959718D0236738C30CA9F5458B39411D6605833E927F73B9351A1i4O7G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5129</Words>
  <Characters>29236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Екатерина Юрьевна</dc:creator>
  <cp:lastModifiedBy>Киселева Екатерина Юрьевна</cp:lastModifiedBy>
  <cp:revision>2</cp:revision>
  <dcterms:created xsi:type="dcterms:W3CDTF">2018-06-07T06:15:00Z</dcterms:created>
  <dcterms:modified xsi:type="dcterms:W3CDTF">2018-06-07T06:15:00Z</dcterms:modified>
</cp:coreProperties>
</file>